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DD7DEC" w14:textId="61F9640E" w:rsidR="00757C2A" w:rsidRPr="00757C2A" w:rsidRDefault="00591B23" w:rsidP="00757C2A">
      <w:pPr>
        <w:rPr>
          <w:rFonts w:ascii="BiauKai" w:eastAsia="BiauKai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757C2A" w:rsidRPr="00757C2A">
        <w:rPr>
          <w:rFonts w:ascii="BiauKai" w:eastAsia="BiauKai" w:hint="eastAsia"/>
          <w:sz w:val="40"/>
          <w:szCs w:val="40"/>
        </w:rPr>
        <w:t>201</w:t>
      </w:r>
      <w:r w:rsidR="0082442F">
        <w:rPr>
          <w:rFonts w:ascii="BiauKai" w:eastAsia="BiauKai" w:hint="eastAsia"/>
          <w:sz w:val="40"/>
          <w:szCs w:val="40"/>
        </w:rPr>
        <w:t>3</w:t>
      </w:r>
      <w:r w:rsidR="00757C2A" w:rsidRPr="00757C2A">
        <w:rPr>
          <w:rFonts w:ascii="BiauKai" w:eastAsia="BiauKai" w:hint="eastAsia"/>
          <w:sz w:val="40"/>
          <w:szCs w:val="40"/>
        </w:rPr>
        <w:t>-201</w:t>
      </w:r>
      <w:r w:rsidR="0082442F">
        <w:rPr>
          <w:rFonts w:ascii="BiauKai" w:eastAsia="BiauKai" w:hint="eastAsia"/>
          <w:sz w:val="40"/>
          <w:szCs w:val="40"/>
        </w:rPr>
        <w:t>4</w:t>
      </w:r>
      <w:r w:rsidR="00F14021">
        <w:rPr>
          <w:rFonts w:ascii="BiauKai" w:eastAsia="BiauKai" w:hint="eastAsia"/>
          <w:sz w:val="40"/>
          <w:szCs w:val="40"/>
        </w:rPr>
        <w:t>年度</w:t>
      </w:r>
      <w:r w:rsidR="0082442F">
        <w:rPr>
          <w:rFonts w:ascii="BiauKai" w:eastAsia="BiauKai" w:hint="eastAsia"/>
          <w:sz w:val="40"/>
          <w:szCs w:val="40"/>
        </w:rPr>
        <w:t>上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B349616" w14:textId="528EA0D4" w:rsidR="00757C2A" w:rsidRDefault="00757C2A" w:rsidP="00757C2A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</w:t>
      </w:r>
      <w:r w:rsidR="007559BE">
        <w:rPr>
          <w:rFonts w:ascii="BiauKai" w:eastAsia="BiauKai" w:hint="eastAsia"/>
          <w:sz w:val="52"/>
          <w:szCs w:val="52"/>
        </w:rPr>
        <w:t xml:space="preserve"> </w:t>
      </w:r>
      <w:r w:rsidR="00ED02A0" w:rsidRPr="00757C2A">
        <w:rPr>
          <w:rFonts w:ascii="BiauKai" w:eastAsia="BiauKai" w:hint="eastAsia"/>
          <w:sz w:val="28"/>
          <w:szCs w:val="28"/>
        </w:rPr>
        <w:t xml:space="preserve">Y7 </w:t>
      </w:r>
      <w:r w:rsidR="009B1893" w:rsidRPr="00757C2A">
        <w:rPr>
          <w:rFonts w:ascii="BiauKai" w:eastAsia="BiauKai" w:hint="eastAsia"/>
          <w:sz w:val="28"/>
          <w:szCs w:val="28"/>
        </w:rPr>
        <w:t xml:space="preserve"> </w:t>
      </w:r>
      <w:r w:rsidR="00714630">
        <w:rPr>
          <w:rFonts w:ascii="BiauKai" w:eastAsia="BiauKai" w:hint="eastAsia"/>
          <w:sz w:val="28"/>
          <w:szCs w:val="28"/>
        </w:rPr>
        <w:t>第</w:t>
      </w:r>
      <w:r w:rsidR="0082442F">
        <w:rPr>
          <w:rFonts w:ascii="BiauKai" w:eastAsia="BiauKai" w:hint="eastAsia"/>
          <w:sz w:val="28"/>
          <w:szCs w:val="28"/>
        </w:rPr>
        <w:t>一</w:t>
      </w:r>
      <w:r w:rsidR="009B1893" w:rsidRPr="00757C2A">
        <w:rPr>
          <w:rFonts w:ascii="BiauKai" w:eastAsia="BiauKai" w:hint="eastAsia"/>
          <w:sz w:val="28"/>
          <w:szCs w:val="28"/>
        </w:rPr>
        <w:t>次評估</w:t>
      </w:r>
      <w:r w:rsidR="00FB5F0C">
        <w:rPr>
          <w:rFonts w:ascii="BiauKai" w:eastAsia="BiauKai" w:hint="eastAsia"/>
          <w:sz w:val="28"/>
          <w:szCs w:val="28"/>
        </w:rPr>
        <w:t>通知</w:t>
      </w:r>
    </w:p>
    <w:p w14:paraId="7B6E8B2D" w14:textId="04E3E39E" w:rsidR="00757C2A" w:rsidRDefault="007559BE" w:rsidP="00757C2A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</w:t>
      </w:r>
      <w:r w:rsidR="009B1893" w:rsidRPr="00757C2A">
        <w:rPr>
          <w:rFonts w:ascii="BiauKai" w:eastAsia="BiauKai" w:hint="eastAsia"/>
          <w:sz w:val="28"/>
          <w:szCs w:val="28"/>
        </w:rPr>
        <w:t>科目：語言 A (中文)</w:t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</w:p>
    <w:p w14:paraId="5ADE3E99" w14:textId="29FD3C21" w:rsidR="009B1893" w:rsidRPr="007B4585" w:rsidRDefault="009B1893" w:rsidP="00757C2A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 w:rsidR="00757C2A" w:rsidRPr="007B4585">
        <w:rPr>
          <w:rFonts w:ascii="BiauKai" w:eastAsia="BiauKai" w:hint="eastAsia"/>
          <w:sz w:val="24"/>
          <w:szCs w:val="24"/>
        </w:rPr>
        <w:t>任教老師：何老師、林老師</w:t>
      </w:r>
      <w:r w:rsidRPr="007B4585">
        <w:rPr>
          <w:rFonts w:ascii="BiauKai" w:eastAsia="BiauKai" w:hint="eastAsia"/>
          <w:sz w:val="24"/>
          <w:szCs w:val="24"/>
        </w:rPr>
        <w:t>、</w:t>
      </w:r>
      <w:r w:rsidR="00ED02A0" w:rsidRPr="007B4585">
        <w:rPr>
          <w:rFonts w:ascii="BiauKai" w:eastAsia="BiauKai" w:hint="eastAsia"/>
          <w:sz w:val="24"/>
          <w:szCs w:val="24"/>
        </w:rPr>
        <w:t>羅老</w:t>
      </w:r>
      <w:r w:rsidRPr="007B4585">
        <w:rPr>
          <w:rFonts w:ascii="BiauKai" w:eastAsia="BiauKai" w:hint="eastAsia"/>
          <w:sz w:val="24"/>
          <w:szCs w:val="24"/>
        </w:rPr>
        <w:t>師</w:t>
      </w:r>
      <w:r w:rsidR="0082442F" w:rsidRPr="007B4585">
        <w:rPr>
          <w:rFonts w:ascii="BiauKai" w:eastAsia="BiauKai" w:hint="eastAsia"/>
          <w:sz w:val="24"/>
          <w:szCs w:val="24"/>
        </w:rPr>
        <w:t>、</w:t>
      </w:r>
      <w:r w:rsidR="0082442F">
        <w:rPr>
          <w:rFonts w:ascii="BiauKai" w:eastAsia="BiauKai" w:hint="eastAsia"/>
          <w:sz w:val="24"/>
          <w:szCs w:val="24"/>
        </w:rPr>
        <w:t>石</w:t>
      </w:r>
      <w:r w:rsidR="0082442F" w:rsidRPr="007B4585">
        <w:rPr>
          <w:rFonts w:ascii="BiauKai" w:eastAsia="BiauKai" w:hint="eastAsia"/>
          <w:sz w:val="24"/>
          <w:szCs w:val="24"/>
        </w:rPr>
        <w:t>老師</w:t>
      </w:r>
    </w:p>
    <w:p w14:paraId="1B145A29" w14:textId="6E9891FB" w:rsidR="00757C2A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714630">
        <w:rPr>
          <w:rFonts w:ascii="BiauKai" w:eastAsia="BiauKai" w:hint="eastAsia"/>
          <w:sz w:val="24"/>
          <w:szCs w:val="24"/>
        </w:rPr>
        <w:t>通知日期：二零一三</w:t>
      </w:r>
      <w:r w:rsidRPr="007B4585">
        <w:rPr>
          <w:rFonts w:ascii="BiauKai" w:eastAsia="BiauKai" w:hint="eastAsia"/>
          <w:sz w:val="24"/>
          <w:szCs w:val="24"/>
        </w:rPr>
        <w:t>年</w:t>
      </w:r>
      <w:r w:rsidR="0082442F">
        <w:rPr>
          <w:rFonts w:ascii="BiauKai" w:eastAsia="BiauKai" w:hint="eastAsia"/>
          <w:sz w:val="24"/>
          <w:szCs w:val="24"/>
        </w:rPr>
        <w:t>九</w:t>
      </w:r>
      <w:r w:rsidR="009B1893" w:rsidRPr="007B4585">
        <w:rPr>
          <w:rFonts w:ascii="BiauKai" w:eastAsia="BiauKai" w:hint="eastAsia"/>
          <w:sz w:val="24"/>
          <w:szCs w:val="24"/>
        </w:rPr>
        <w:t>月</w:t>
      </w:r>
      <w:r w:rsidR="0082442F">
        <w:rPr>
          <w:rFonts w:ascii="BiauKai" w:eastAsia="BiauKai" w:hint="eastAsia"/>
          <w:sz w:val="24"/>
          <w:szCs w:val="24"/>
        </w:rPr>
        <w:t>二</w:t>
      </w:r>
      <w:r w:rsidR="00ED56E1">
        <w:rPr>
          <w:rFonts w:ascii="BiauKai" w:eastAsia="BiauKai" w:hint="eastAsia"/>
          <w:sz w:val="24"/>
          <w:szCs w:val="24"/>
        </w:rPr>
        <w:t>十</w:t>
      </w:r>
      <w:r w:rsidR="0082442F">
        <w:rPr>
          <w:rFonts w:ascii="BiauKai" w:eastAsia="BiauKai" w:hint="eastAsia"/>
          <w:sz w:val="24"/>
          <w:szCs w:val="24"/>
        </w:rPr>
        <w:t>六</w:t>
      </w:r>
      <w:r w:rsidR="009B1893" w:rsidRPr="007B4585">
        <w:rPr>
          <w:rFonts w:ascii="BiauKai" w:eastAsia="BiauKai" w:hint="eastAsia"/>
          <w:sz w:val="24"/>
          <w:szCs w:val="24"/>
        </w:rPr>
        <w:t>日</w:t>
      </w:r>
      <w:r w:rsidR="00ED02A0" w:rsidRPr="007B4585">
        <w:rPr>
          <w:rFonts w:ascii="BiauKai" w:eastAsia="BiauKai" w:hint="eastAsia"/>
          <w:sz w:val="24"/>
          <w:szCs w:val="24"/>
        </w:rPr>
        <w:t xml:space="preserve">     </w:t>
      </w:r>
    </w:p>
    <w:p w14:paraId="76D3A3EB" w14:textId="111B1BBB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評估日期：</w:t>
      </w:r>
      <w:r w:rsidR="00714630">
        <w:rPr>
          <w:rFonts w:ascii="BiauKai" w:eastAsia="BiauKai" w:hint="eastAsia"/>
          <w:sz w:val="24"/>
          <w:szCs w:val="24"/>
        </w:rPr>
        <w:t>二零一三</w:t>
      </w:r>
      <w:r w:rsidR="009B1893" w:rsidRPr="007B4585">
        <w:rPr>
          <w:rFonts w:ascii="BiauKai" w:eastAsia="BiauKai" w:hint="eastAsia"/>
          <w:sz w:val="24"/>
          <w:szCs w:val="24"/>
        </w:rPr>
        <w:t>年</w:t>
      </w:r>
      <w:r w:rsidR="0082442F">
        <w:rPr>
          <w:rFonts w:ascii="BiauKai" w:eastAsia="BiauKai" w:hint="eastAsia"/>
          <w:sz w:val="24"/>
          <w:szCs w:val="24"/>
        </w:rPr>
        <w:t>十</w:t>
      </w:r>
      <w:r w:rsidRPr="007B4585">
        <w:rPr>
          <w:rFonts w:ascii="BiauKai" w:eastAsia="BiauKai" w:hint="eastAsia"/>
          <w:sz w:val="24"/>
          <w:szCs w:val="24"/>
        </w:rPr>
        <w:t>月</w:t>
      </w:r>
      <w:r w:rsidR="0082442F">
        <w:rPr>
          <w:rFonts w:ascii="BiauKai" w:eastAsia="BiauKai" w:hint="eastAsia"/>
          <w:sz w:val="24"/>
          <w:szCs w:val="24"/>
        </w:rPr>
        <w:t>三</w:t>
      </w:r>
      <w:r w:rsidR="00C926AA" w:rsidRPr="007B4585">
        <w:rPr>
          <w:rFonts w:ascii="BiauKai" w:eastAsia="BiauKai" w:hint="eastAsia"/>
          <w:sz w:val="24"/>
          <w:szCs w:val="24"/>
        </w:rPr>
        <w:t>日</w:t>
      </w:r>
    </w:p>
    <w:p w14:paraId="30446416" w14:textId="4E9EDE9B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評估時限：</w:t>
      </w:r>
      <w:r w:rsidR="00BF32CC">
        <w:rPr>
          <w:rFonts w:ascii="BiauKai" w:eastAsia="BiauKai" w:hint="eastAsia"/>
          <w:sz w:val="24"/>
          <w:szCs w:val="24"/>
        </w:rPr>
        <w:t>8</w:t>
      </w:r>
      <w:r w:rsidR="0082442F">
        <w:rPr>
          <w:rFonts w:ascii="BiauKai" w:eastAsia="BiauKai" w:hint="eastAsia"/>
          <w:sz w:val="24"/>
          <w:szCs w:val="24"/>
        </w:rPr>
        <w:t>0</w:t>
      </w:r>
      <w:r w:rsidR="009B1893" w:rsidRPr="007B4585">
        <w:rPr>
          <w:rFonts w:ascii="BiauKai" w:eastAsia="BiauKai" w:hint="eastAsia"/>
          <w:sz w:val="24"/>
          <w:szCs w:val="24"/>
        </w:rPr>
        <w:t xml:space="preserve">分鐘                         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</w:p>
    <w:p w14:paraId="4AC06141" w14:textId="77777777" w:rsidR="009B1893" w:rsidRPr="007B4585" w:rsidRDefault="009B1893" w:rsidP="009B1893">
      <w:pPr>
        <w:rPr>
          <w:rFonts w:ascii="BiauKai" w:eastAsia="BiauKai"/>
          <w:sz w:val="24"/>
          <w:szCs w:val="24"/>
        </w:rPr>
      </w:pPr>
    </w:p>
    <w:p w14:paraId="515FDC78" w14:textId="5EF97D3A" w:rsidR="009B1893" w:rsidRPr="007B4585" w:rsidRDefault="007B4585" w:rsidP="009B1893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學生姓名：_________________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班別： </w:t>
      </w:r>
      <w:r w:rsidR="00ED02A0" w:rsidRPr="007B4585">
        <w:rPr>
          <w:rFonts w:ascii="BiauKai" w:eastAsia="BiauKai" w:hint="eastAsia"/>
          <w:sz w:val="24"/>
          <w:szCs w:val="24"/>
          <w:u w:val="single"/>
        </w:rPr>
        <w:t>Y7</w:t>
      </w:r>
      <w:r w:rsidR="009B1893"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6599C9F9" w14:textId="77777777" w:rsidR="009B1893" w:rsidRPr="007B4585" w:rsidRDefault="009B1893" w:rsidP="009B1893">
      <w:pPr>
        <w:ind w:right="360"/>
        <w:rPr>
          <w:rFonts w:ascii="BiauKai" w:eastAsia="BiauKai"/>
          <w:sz w:val="24"/>
          <w:szCs w:val="24"/>
        </w:rPr>
      </w:pPr>
    </w:p>
    <w:p w14:paraId="57E64240" w14:textId="59FCA1B2" w:rsidR="009B1893" w:rsidRPr="007B4585" w:rsidRDefault="007559BE" w:rsidP="009B1893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    </w:t>
      </w:r>
      <w:r w:rsidR="009B1893" w:rsidRPr="007B4585">
        <w:rPr>
          <w:rFonts w:ascii="BiauKai" w:eastAsia="BiauKai" w:hint="eastAsia"/>
          <w:sz w:val="24"/>
          <w:szCs w:val="24"/>
        </w:rPr>
        <w:t>是次評估將評核標準A、B、C三項。作答前，請細閱以下的標準細則：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121"/>
        <w:gridCol w:w="1160"/>
      </w:tblGrid>
      <w:tr w:rsidR="00C5526B" w:rsidRPr="007B4585" w14:paraId="0FD0CB91" w14:textId="77777777" w:rsidTr="00714630">
        <w:trPr>
          <w:trHeight w:val="1251"/>
        </w:trPr>
        <w:tc>
          <w:tcPr>
            <w:tcW w:w="1243" w:type="dxa"/>
            <w:shd w:val="clear" w:color="auto" w:fill="auto"/>
          </w:tcPr>
          <w:p w14:paraId="37888790" w14:textId="77777777" w:rsidR="00C5526B" w:rsidRPr="007B4585" w:rsidRDefault="00C5526B" w:rsidP="00C5526B">
            <w:pPr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/>
                <w:sz w:val="24"/>
                <w:szCs w:val="24"/>
              </w:rPr>
              <w:br/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0BC571E3" w14:textId="77777777" w:rsidR="00C5526B" w:rsidRPr="007B4585" w:rsidRDefault="00C5526B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30AECB63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－對題目有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深刻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的理解</w:t>
            </w:r>
          </w:p>
          <w:p w14:paraId="46E9ADB2" w14:textId="17E70067" w:rsidR="00C5526B" w:rsidRPr="007B4585" w:rsidRDefault="00C5526B" w:rsidP="00714630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主題集中、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清晰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  <w:p w14:paraId="0DB94DC0" w14:textId="458FD9E7" w:rsidR="00C5526B" w:rsidRPr="007B4585" w:rsidRDefault="00C5526B" w:rsidP="00714630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44126B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能在介紹的過程中，恰當地運用多元</w:t>
            </w:r>
            <w:r w:rsidR="00714630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的說明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方法</w:t>
            </w:r>
          </w:p>
        </w:tc>
        <w:tc>
          <w:tcPr>
            <w:tcW w:w="1160" w:type="dxa"/>
            <w:shd w:val="clear" w:color="auto" w:fill="auto"/>
          </w:tcPr>
          <w:p w14:paraId="18E86830" w14:textId="77777777" w:rsidR="00C5526B" w:rsidRPr="007B4585" w:rsidRDefault="00C5526B" w:rsidP="0082442F">
            <w:pPr>
              <w:ind w:right="360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26F1BE13" w14:textId="77777777" w:rsidR="00C5526B" w:rsidRPr="007B4585" w:rsidRDefault="00C5526B" w:rsidP="0082442F">
            <w:pPr>
              <w:ind w:right="360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2315A111" w14:textId="1B92D41C" w:rsidR="00C5526B" w:rsidRPr="007B4585" w:rsidRDefault="00C5526B" w:rsidP="0082442F">
            <w:pPr>
              <w:ind w:right="360" w:firstLineChars="50" w:firstLine="120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/10</w:t>
            </w:r>
          </w:p>
        </w:tc>
      </w:tr>
      <w:tr w:rsidR="00C5526B" w:rsidRPr="007B4585" w14:paraId="3EC3F338" w14:textId="77777777" w:rsidTr="00C5526B">
        <w:tc>
          <w:tcPr>
            <w:tcW w:w="1243" w:type="dxa"/>
            <w:shd w:val="clear" w:color="auto" w:fill="auto"/>
          </w:tcPr>
          <w:p w14:paraId="581E2A9A" w14:textId="77777777" w:rsidR="00C5526B" w:rsidRPr="007B4585" w:rsidRDefault="00C5526B" w:rsidP="00C5526B">
            <w:pPr>
              <w:tabs>
                <w:tab w:val="left" w:pos="1168"/>
              </w:tabs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1855473D" w14:textId="77777777" w:rsidR="00C5526B" w:rsidRPr="007B4585" w:rsidRDefault="00C5526B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7121" w:type="dxa"/>
            <w:shd w:val="clear" w:color="auto" w:fill="auto"/>
          </w:tcPr>
          <w:p w14:paraId="1A9ABB37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3D0CEE78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  <w:p w14:paraId="342541FE" w14:textId="77777777" w:rsidR="00C5526B" w:rsidRPr="007B4585" w:rsidRDefault="00C5526B" w:rsidP="00354ECF">
            <w:pPr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－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分段恰當、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zh-CN"/>
              </w:rPr>
              <w:t>層次分明</w:t>
            </w:r>
          </w:p>
        </w:tc>
        <w:tc>
          <w:tcPr>
            <w:tcW w:w="1160" w:type="dxa"/>
            <w:shd w:val="clear" w:color="auto" w:fill="auto"/>
          </w:tcPr>
          <w:p w14:paraId="1461834B" w14:textId="77777777" w:rsidR="00C5526B" w:rsidRPr="007B4585" w:rsidRDefault="00C5526B" w:rsidP="0082442F">
            <w:pPr>
              <w:ind w:right="360"/>
              <w:jc w:val="center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7BF69BCD" w14:textId="6ADFF69C" w:rsidR="00C5526B" w:rsidRPr="007B4585" w:rsidRDefault="00C5526B" w:rsidP="0082442F">
            <w:pPr>
              <w:ind w:right="360" w:firstLineChars="50" w:firstLine="120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/10</w:t>
            </w:r>
          </w:p>
        </w:tc>
      </w:tr>
      <w:tr w:rsidR="00C5526B" w:rsidRPr="007B4585" w14:paraId="1E66017C" w14:textId="77777777" w:rsidTr="00C5526B">
        <w:tc>
          <w:tcPr>
            <w:tcW w:w="1243" w:type="dxa"/>
            <w:shd w:val="clear" w:color="auto" w:fill="auto"/>
          </w:tcPr>
          <w:p w14:paraId="7E568CF9" w14:textId="77777777" w:rsidR="00C5526B" w:rsidRPr="007B4585" w:rsidRDefault="00C5526B" w:rsidP="00C5526B">
            <w:pPr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C</w:t>
            </w:r>
          </w:p>
          <w:p w14:paraId="596B204C" w14:textId="77777777" w:rsidR="00C5526B" w:rsidRPr="007B4585" w:rsidRDefault="00C5526B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文體和語言技巧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3E9B6241" w14:textId="77777777" w:rsidR="00884355" w:rsidRDefault="00884355" w:rsidP="00884355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運用恰當的文體</w:t>
            </w:r>
          </w:p>
          <w:p w14:paraId="7DC2D68D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47D14560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160" w:type="dxa"/>
            <w:shd w:val="clear" w:color="auto" w:fill="auto"/>
          </w:tcPr>
          <w:p w14:paraId="425F53EF" w14:textId="77777777" w:rsidR="00C5526B" w:rsidRPr="007B4585" w:rsidRDefault="00C5526B" w:rsidP="0082442F">
            <w:pPr>
              <w:ind w:right="360"/>
              <w:jc w:val="center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5E23CC6B" w14:textId="25921D5F" w:rsidR="00C5526B" w:rsidRPr="007B4585" w:rsidRDefault="00C5526B" w:rsidP="0082442F">
            <w:pPr>
              <w:ind w:right="60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/10</w:t>
            </w:r>
          </w:p>
        </w:tc>
      </w:tr>
    </w:tbl>
    <w:p w14:paraId="0C954906" w14:textId="77777777" w:rsidR="00FC6845" w:rsidRDefault="00FC6845" w:rsidP="002035F9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561F1750" w14:textId="77777777" w:rsidR="00FC6845" w:rsidRDefault="00FC6845" w:rsidP="002035F9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3AC3B84E" w14:textId="77777777" w:rsidR="00BF32CC" w:rsidRPr="007B4585" w:rsidRDefault="00BF32CC" w:rsidP="00BF32CC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01825238" w14:textId="77777777" w:rsidR="00BF32CC" w:rsidRPr="00867640" w:rsidRDefault="00BF32CC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>在原稿紙的第一行寫</w:t>
      </w:r>
      <w:r w:rsidRPr="00867640">
        <w:rPr>
          <w:rFonts w:ascii="BiauKai" w:eastAsia="BiauKai" w:hAnsi="細明體" w:hint="eastAsia"/>
          <w:bCs/>
          <w:sz w:val="24"/>
          <w:szCs w:val="24"/>
        </w:rPr>
        <w:t>文章的題目</w:t>
      </w:r>
      <w:r>
        <w:rPr>
          <w:rFonts w:ascii="BiauKai" w:eastAsia="BiauKai" w:hAnsi="細明體" w:hint="eastAsia"/>
          <w:bCs/>
          <w:sz w:val="24"/>
          <w:szCs w:val="24"/>
        </w:rPr>
        <w:t>（可以寫在正中或空4格起）</w:t>
      </w:r>
      <w:r w:rsidRPr="00867640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7F98E590" w14:textId="73A9A64E" w:rsidR="00BF32CC" w:rsidRDefault="00A95CD2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>認真審題，</w:t>
      </w:r>
      <w:r w:rsidR="00BF32CC" w:rsidRPr="00867640">
        <w:rPr>
          <w:rFonts w:ascii="BiauKai" w:eastAsia="BiauKai" w:hAnsi="細明體" w:hint="eastAsia"/>
          <w:bCs/>
          <w:sz w:val="24"/>
          <w:szCs w:val="24"/>
        </w:rPr>
        <w:t>利用所提供的</w:t>
      </w:r>
      <w:r w:rsidR="00BF32CC">
        <w:rPr>
          <w:rFonts w:ascii="BiauKai" w:eastAsia="BiauKai" w:hAnsi="細明體" w:hint="eastAsia"/>
          <w:bCs/>
          <w:sz w:val="24"/>
          <w:szCs w:val="24"/>
        </w:rPr>
        <w:t>資料及個人經驗</w:t>
      </w:r>
      <w:r>
        <w:rPr>
          <w:rFonts w:ascii="BiauKai" w:eastAsia="BiauKai" w:hAnsi="細明體" w:hint="eastAsia"/>
          <w:bCs/>
          <w:sz w:val="24"/>
          <w:szCs w:val="24"/>
        </w:rPr>
        <w:t>寫作</w:t>
      </w:r>
      <w:r w:rsidR="00BF32CC" w:rsidRPr="00867640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27ABC07F" w14:textId="77777777" w:rsidR="00BF32CC" w:rsidRDefault="00BF32CC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 w:rsidRPr="00867640">
        <w:rPr>
          <w:rFonts w:ascii="BiauKai" w:eastAsia="BiauKai" w:hint="eastAsia"/>
          <w:sz w:val="24"/>
          <w:szCs w:val="24"/>
        </w:rPr>
        <w:t>運用</w:t>
      </w:r>
      <w:r w:rsidRPr="00BB1E00">
        <w:rPr>
          <w:rFonts w:ascii="BiauKai" w:eastAsia="BiauKai" w:hAnsi="細明體" w:hint="eastAsia"/>
          <w:b/>
          <w:bCs/>
          <w:sz w:val="24"/>
          <w:szCs w:val="24"/>
          <w:u w:val="single"/>
        </w:rPr>
        <w:t>時間順序</w:t>
      </w:r>
      <w:r w:rsidRPr="00867640">
        <w:rPr>
          <w:rFonts w:ascii="BiauKai" w:eastAsia="BiauKai" w:hAnsi="細明體" w:hint="eastAsia"/>
          <w:bCs/>
          <w:sz w:val="24"/>
          <w:szCs w:val="24"/>
        </w:rPr>
        <w:t>及</w:t>
      </w:r>
      <w:r w:rsidRPr="002919B2">
        <w:rPr>
          <w:rFonts w:ascii="BiauKai" w:eastAsia="BiauKai" w:hAnsi="細明體" w:hint="eastAsia"/>
          <w:b/>
          <w:bCs/>
          <w:sz w:val="24"/>
          <w:szCs w:val="24"/>
          <w:u w:val="single"/>
        </w:rPr>
        <w:t>三種</w:t>
      </w:r>
      <w:r w:rsidRPr="00BB1E00">
        <w:rPr>
          <w:rFonts w:ascii="BiauKai" w:eastAsia="BiauKai" w:hAnsi="細明體" w:hint="eastAsia"/>
          <w:b/>
          <w:bCs/>
          <w:sz w:val="24"/>
          <w:szCs w:val="24"/>
          <w:u w:val="single"/>
        </w:rPr>
        <w:t>說明方法</w:t>
      </w:r>
      <w:r>
        <w:rPr>
          <w:rFonts w:ascii="BiauKai" w:eastAsia="BiauKai" w:hint="eastAsia"/>
          <w:sz w:val="24"/>
          <w:szCs w:val="24"/>
        </w:rPr>
        <w:t>寫作</w:t>
      </w:r>
      <w:r w:rsidRPr="00867640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03049ED5" w14:textId="2CC1C288" w:rsidR="00BF32CC" w:rsidRDefault="00BF32CC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>恰當地使用過渡句或過渡段。</w:t>
      </w:r>
    </w:p>
    <w:p w14:paraId="634E0AEC" w14:textId="77777777" w:rsidR="00BF32CC" w:rsidRDefault="00BF32CC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 w:rsidRPr="00867640">
        <w:rPr>
          <w:rFonts w:ascii="BiauKai" w:eastAsia="BiauKai" w:hAnsi="細明體" w:hint="eastAsia"/>
          <w:bCs/>
          <w:sz w:val="24"/>
          <w:szCs w:val="24"/>
        </w:rPr>
        <w:t>字數不少於300字（包括標點符號）。</w:t>
      </w:r>
    </w:p>
    <w:p w14:paraId="4405ECC2" w14:textId="77777777" w:rsidR="00BF32CC" w:rsidRPr="00867640" w:rsidRDefault="00BF32CC" w:rsidP="00BF32CC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 w:rsidRPr="00867640">
        <w:rPr>
          <w:rFonts w:ascii="BiauKai" w:eastAsia="BiauKai" w:hAnsi="細明體" w:hint="eastAsia"/>
          <w:bCs/>
          <w:sz w:val="24"/>
          <w:szCs w:val="24"/>
        </w:rPr>
        <w:t>複習《生物之間的微妙關係》、《故宮博物院》、《指南針》。</w:t>
      </w:r>
    </w:p>
    <w:p w14:paraId="294A8DBC" w14:textId="77777777" w:rsidR="00065727" w:rsidRPr="007B4585" w:rsidRDefault="00065727" w:rsidP="000A4F4E">
      <w:pPr>
        <w:rPr>
          <w:rFonts w:ascii="BiauKai" w:eastAsia="BiauKai" w:hAnsi="Courier New"/>
          <w:b/>
          <w:sz w:val="24"/>
          <w:szCs w:val="24"/>
        </w:rPr>
      </w:pPr>
    </w:p>
    <w:p w14:paraId="37CCBB68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443E5122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25BB62B7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20C6C666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04B5E836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519A1916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1FC1470C" w14:textId="77777777" w:rsidR="004A1E2B" w:rsidRDefault="004A1E2B" w:rsidP="000A4F4E">
      <w:pPr>
        <w:rPr>
          <w:rFonts w:ascii="BiauKai" w:eastAsia="BiauKai" w:hAnsi="Courier New"/>
          <w:b/>
        </w:rPr>
      </w:pPr>
    </w:p>
    <w:p w14:paraId="54CF59F8" w14:textId="77777777" w:rsidR="004A1E2B" w:rsidRDefault="004A1E2B" w:rsidP="004A1E2B">
      <w:pPr>
        <w:rPr>
          <w:rFonts w:ascii="標楷體" w:eastAsia="標楷體" w:hAnsi="標楷體"/>
        </w:rPr>
      </w:pPr>
    </w:p>
    <w:p w14:paraId="31BB6B4B" w14:textId="77777777" w:rsidR="00895BEB" w:rsidRDefault="00895BEB" w:rsidP="002A6A22">
      <w:pPr>
        <w:rPr>
          <w:b/>
          <w:bCs/>
        </w:rPr>
        <w:sectPr w:rsidR="00895B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77777777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七年級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231907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231907">
              <w:rPr>
                <w:rFonts w:hint="eastAsia"/>
                <w:sz w:val="18"/>
                <w:szCs w:val="18"/>
              </w:rPr>
              <w:t xml:space="preserve">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231907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cs="SimHei"/>
                <w:color w:val="000000"/>
                <w:sz w:val="18"/>
                <w:szCs w:val="18"/>
                <w:lang w:eastAsia="zh-TW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或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5D5A73A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3AE74C8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  <w:r w:rsidR="002D5F0F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6788E9E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231907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231907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22620CD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77777777" w:rsidR="00895BE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699B309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231907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0E1E491B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F899D3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通常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566FA7F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  <w:r w:rsidR="002D5F0F">
              <w:rPr>
                <w:rFonts w:ascii="SimHei" w:hAnsi="TimesNewRomanPSMT" w:cs="SimHei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C12053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231907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C9D541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231907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58E3E62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231907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6B780A7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231907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231907">
              <w:rPr>
                <w:rFonts w:ascii="SimSun" w:cs="SimSun" w:hint="eastAsia"/>
                <w:sz w:val="18"/>
                <w:szCs w:val="18"/>
              </w:rPr>
              <w:t>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7D3B3D2F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3C8EFA5D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C270A3" w:rsidRDefault="00C270A3" w:rsidP="009101C3">
      <w:r>
        <w:separator/>
      </w:r>
    </w:p>
  </w:endnote>
  <w:endnote w:type="continuationSeparator" w:id="0">
    <w:p w14:paraId="0F79B84C" w14:textId="77777777" w:rsidR="00C270A3" w:rsidRDefault="00C270A3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C270A3" w:rsidRDefault="00C270A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C270A3" w:rsidRDefault="00C270A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C270A3" w:rsidRDefault="00C270A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C270A3" w:rsidRDefault="00C270A3" w:rsidP="009101C3">
      <w:r>
        <w:separator/>
      </w:r>
    </w:p>
  </w:footnote>
  <w:footnote w:type="continuationSeparator" w:id="0">
    <w:p w14:paraId="61CBC19D" w14:textId="77777777" w:rsidR="00C270A3" w:rsidRDefault="00C270A3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C270A3" w:rsidRDefault="00C270A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C270A3" w:rsidRDefault="00C270A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C270A3" w:rsidRDefault="00C270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6BBD03B2"/>
    <w:multiLevelType w:val="hybridMultilevel"/>
    <w:tmpl w:val="98C0878E"/>
    <w:lvl w:ilvl="0" w:tplc="359E4DFE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55427"/>
    <w:rsid w:val="00065727"/>
    <w:rsid w:val="000A4F4E"/>
    <w:rsid w:val="000D047D"/>
    <w:rsid w:val="001744F4"/>
    <w:rsid w:val="002035EC"/>
    <w:rsid w:val="002035F9"/>
    <w:rsid w:val="002145D0"/>
    <w:rsid w:val="00231907"/>
    <w:rsid w:val="002642FA"/>
    <w:rsid w:val="002A6A22"/>
    <w:rsid w:val="002A7332"/>
    <w:rsid w:val="002C55FF"/>
    <w:rsid w:val="002D5F0F"/>
    <w:rsid w:val="003140E1"/>
    <w:rsid w:val="00324713"/>
    <w:rsid w:val="00354ECF"/>
    <w:rsid w:val="00370E1A"/>
    <w:rsid w:val="003B1CF2"/>
    <w:rsid w:val="003B7271"/>
    <w:rsid w:val="00425E79"/>
    <w:rsid w:val="00431E75"/>
    <w:rsid w:val="0044126B"/>
    <w:rsid w:val="004A1E2B"/>
    <w:rsid w:val="004D0269"/>
    <w:rsid w:val="00540E8F"/>
    <w:rsid w:val="00591B23"/>
    <w:rsid w:val="005D7514"/>
    <w:rsid w:val="005E61D2"/>
    <w:rsid w:val="00651A05"/>
    <w:rsid w:val="006570C8"/>
    <w:rsid w:val="00662E9C"/>
    <w:rsid w:val="00665EBE"/>
    <w:rsid w:val="00665FAE"/>
    <w:rsid w:val="00694A4F"/>
    <w:rsid w:val="006C697B"/>
    <w:rsid w:val="006D0776"/>
    <w:rsid w:val="006D2CD2"/>
    <w:rsid w:val="00714630"/>
    <w:rsid w:val="00744869"/>
    <w:rsid w:val="007559BE"/>
    <w:rsid w:val="00757C2A"/>
    <w:rsid w:val="0079218E"/>
    <w:rsid w:val="007B4585"/>
    <w:rsid w:val="007D443C"/>
    <w:rsid w:val="007E458D"/>
    <w:rsid w:val="0082442F"/>
    <w:rsid w:val="00876425"/>
    <w:rsid w:val="00884355"/>
    <w:rsid w:val="008866F1"/>
    <w:rsid w:val="00895BEB"/>
    <w:rsid w:val="008A35CC"/>
    <w:rsid w:val="009101C3"/>
    <w:rsid w:val="0099746B"/>
    <w:rsid w:val="009B1893"/>
    <w:rsid w:val="00A07E06"/>
    <w:rsid w:val="00A14515"/>
    <w:rsid w:val="00A32910"/>
    <w:rsid w:val="00A5270A"/>
    <w:rsid w:val="00A65BF0"/>
    <w:rsid w:val="00A71B7C"/>
    <w:rsid w:val="00A85705"/>
    <w:rsid w:val="00A94DFD"/>
    <w:rsid w:val="00A9537E"/>
    <w:rsid w:val="00A95CD2"/>
    <w:rsid w:val="00AA5918"/>
    <w:rsid w:val="00AD460C"/>
    <w:rsid w:val="00AE0443"/>
    <w:rsid w:val="00AE68FB"/>
    <w:rsid w:val="00B2323B"/>
    <w:rsid w:val="00B274E0"/>
    <w:rsid w:val="00BF32CC"/>
    <w:rsid w:val="00C20EC3"/>
    <w:rsid w:val="00C270A3"/>
    <w:rsid w:val="00C5526B"/>
    <w:rsid w:val="00C701D0"/>
    <w:rsid w:val="00C76CF7"/>
    <w:rsid w:val="00C83901"/>
    <w:rsid w:val="00C926AA"/>
    <w:rsid w:val="00CB1756"/>
    <w:rsid w:val="00D30202"/>
    <w:rsid w:val="00D6204A"/>
    <w:rsid w:val="00DB22FF"/>
    <w:rsid w:val="00DD2253"/>
    <w:rsid w:val="00DD3D5A"/>
    <w:rsid w:val="00E16DE9"/>
    <w:rsid w:val="00E273DB"/>
    <w:rsid w:val="00E6586D"/>
    <w:rsid w:val="00ED02A0"/>
    <w:rsid w:val="00ED56E1"/>
    <w:rsid w:val="00F00A9D"/>
    <w:rsid w:val="00F056F0"/>
    <w:rsid w:val="00F14021"/>
    <w:rsid w:val="00F152B8"/>
    <w:rsid w:val="00F52CB9"/>
    <w:rsid w:val="00F664AB"/>
    <w:rsid w:val="00F8778F"/>
    <w:rsid w:val="00FB5F0C"/>
    <w:rsid w:val="00FC6845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1744F4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1744F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57938C-15A2-A247-9AE5-0BE64D70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2</cp:revision>
  <cp:lastPrinted>2013-09-26T00:59:00Z</cp:lastPrinted>
  <dcterms:created xsi:type="dcterms:W3CDTF">2013-09-26T06:39:00Z</dcterms:created>
  <dcterms:modified xsi:type="dcterms:W3CDTF">2013-09-26T06:39:00Z</dcterms:modified>
</cp:coreProperties>
</file>